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Theme="minorHAnsi" w:hAnsiTheme="minorHAnsi" w:eastAsiaTheme="minorEastAsia" w:cstheme="minorBidi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32"/>
          <w:szCs w:val="32"/>
          <w:lang w:val="en-US" w:eastAsia="zh-CN" w:bidi="ar"/>
        </w:rPr>
        <w:t>宿豫区来龙镇全域推行农村产权交易项目线上自由竞价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2"/>
        <w:jc w:val="both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8" w:lineRule="atLeast"/>
        <w:ind w:left="0" w:right="0" w:firstLine="380" w:firstLineChars="200"/>
        <w:textAlignment w:val="auto"/>
        <w:rPr>
          <w:sz w:val="19"/>
          <w:szCs w:val="19"/>
        </w:rPr>
      </w:pPr>
      <w:r>
        <w:rPr>
          <w:sz w:val="19"/>
          <w:szCs w:val="19"/>
        </w:rPr>
        <w:t>3月22日，宿豫区来龙镇当日实现16笔村级工程、资源发包项目线上自由竞价。今年以来，该镇通过线上自由竞价发包项目96笔，成交额1150.2万元。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突出方便快捷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8" w:lineRule="atLeast"/>
        <w:ind w:left="0" w:right="0" w:firstLine="380" w:firstLineChars="200"/>
        <w:textAlignment w:val="auto"/>
      </w:pPr>
      <w:r>
        <w:rPr>
          <w:sz w:val="19"/>
          <w:szCs w:val="19"/>
        </w:rPr>
        <w:t>江苏省农村产权交易平台开通以来，来龙镇积极探索，逐步由线下现场竞价，走上线上自由竞价。投标方通过手机线上报名，线上自由竞价，减少到交易现场往返的麻烦，减少镇村组织竞价现场的工作量。线上多个项目可同时开标，大大提高工作效率。</w:t>
      </w:r>
      <w:r>
        <w:drawing>
          <wp:inline distT="0" distB="0" distL="114300" distR="114300">
            <wp:extent cx="5738495" cy="4045585"/>
            <wp:effectExtent l="0" t="0" r="6985" b="8255"/>
            <wp:docPr id="2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4045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做到公平公正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19"/>
          <w:szCs w:val="19"/>
          <w:lang w:val="en-US" w:eastAsia="zh-CN" w:bidi="ar"/>
        </w:rPr>
        <w:t>线上自由竞价，可以充分体现投标方的真实意愿，报名者通过用手机操作，资产资源出租谁出价高谁中标，工程和采购谁价格低谁中标，没有人为因素干扰，无后门可走，无关系可用，群众心里服气。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center"/>
        <w:textAlignment w:val="auto"/>
      </w:pPr>
      <w:r>
        <w:drawing>
          <wp:inline distT="0" distB="0" distL="114300" distR="114300">
            <wp:extent cx="5510530" cy="4199890"/>
            <wp:effectExtent l="0" t="0" r="6350" b="6350"/>
            <wp:docPr id="9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333375"/>
            <wp:effectExtent l="0" t="0" r="0" b="0"/>
            <wp:docPr id="8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实现集体收益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19"/>
          <w:szCs w:val="19"/>
          <w:lang w:val="en-US" w:eastAsia="zh-CN" w:bidi="ar"/>
        </w:rPr>
        <w:t>线上自由竞价，杜绝了现场串标、起哄，交易价格能够正常体现。玉皇村第二网格活动室维修工程预算底价49000元，5个施工方报名，经过49次反向在线自由竞价，最终以43530成交，为村集体节省经费支出5470元。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888888"/>
          <w:spacing w:val="7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WUyNjU0N2U0MWVjZjM2MWI0YWMyOGM4MjA1Y2UifQ=="/>
  </w:docVars>
  <w:rsids>
    <w:rsidRoot w:val="48C16FA8"/>
    <w:rsid w:val="06243F36"/>
    <w:rsid w:val="0ADA4394"/>
    <w:rsid w:val="2A826C39"/>
    <w:rsid w:val="48C16FA8"/>
    <w:rsid w:val="5A0933BD"/>
    <w:rsid w:val="66052C4D"/>
    <w:rsid w:val="7E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GIF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2024-03-26T08:41:00Z</dcterms:created>
  <dc:creator>南京南大尚诚软件科技有限公司</dc:creator>
  <cp:lastModifiedBy>南京南大尚诚软件科技有限公司</cp:lastModifiedBy>
  <dcterms:modified xsi:type="dcterms:W3CDTF">2024-03-26T09:01:33Z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D2079BC3316345FFB08C5FD86E29AFA5_11</vt:lpwstr>
  </property>
</Properties>
</file>